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BCE8" w14:textId="77777777" w:rsidR="002025D6" w:rsidRPr="0083360C" w:rsidRDefault="002025D6" w:rsidP="002025D6">
      <w:pPr>
        <w:jc w:val="center"/>
        <w:rPr>
          <w:b/>
          <w:bCs/>
          <w:color w:val="275317" w:themeColor="accent6" w:themeShade="80"/>
          <w:sz w:val="24"/>
          <w:szCs w:val="24"/>
        </w:rPr>
      </w:pPr>
      <w:r w:rsidRPr="0083360C">
        <w:rPr>
          <w:b/>
          <w:bCs/>
          <w:color w:val="275317" w:themeColor="accent6" w:themeShade="80"/>
          <w:sz w:val="24"/>
          <w:szCs w:val="24"/>
        </w:rPr>
        <w:t xml:space="preserve">Arbejdsmarkeds Uddannelser (AMU) </w:t>
      </w:r>
    </w:p>
    <w:p w14:paraId="311DAEEE" w14:textId="77777777" w:rsidR="002025D6" w:rsidRPr="0085699A" w:rsidRDefault="002025D6" w:rsidP="002025D6">
      <w:pPr>
        <w:jc w:val="right"/>
        <w:rPr>
          <w:rFonts w:ascii="ADLaM Display" w:hAnsi="ADLaM Display" w:cs="ADLaM Display"/>
          <w:color w:val="80340D" w:themeColor="accent2" w:themeShade="80"/>
          <w:sz w:val="24"/>
          <w:szCs w:val="24"/>
        </w:rPr>
      </w:pPr>
      <w:r w:rsidRPr="0085699A">
        <w:rPr>
          <w:rFonts w:ascii="ADLaM Display" w:hAnsi="ADLaM Display" w:cs="ADLaM Display"/>
          <w:color w:val="80340D" w:themeColor="accent2" w:themeShade="80"/>
          <w:sz w:val="24"/>
          <w:szCs w:val="24"/>
        </w:rPr>
        <w:t>”En god måde at blive opkvalificeret</w:t>
      </w:r>
      <w:r>
        <w:rPr>
          <w:rFonts w:ascii="ADLaM Display" w:hAnsi="ADLaM Display" w:cs="ADLaM Display"/>
          <w:color w:val="80340D" w:themeColor="accent2" w:themeShade="80"/>
          <w:sz w:val="24"/>
          <w:szCs w:val="24"/>
        </w:rPr>
        <w:t xml:space="preserve"> og få mod på </w:t>
      </w:r>
      <w:r w:rsidRPr="00A162B2">
        <w:rPr>
          <w:rFonts w:ascii="ADLaM Display" w:hAnsi="ADLaM Display" w:cs="ADLaM Display"/>
          <w:i/>
          <w:iCs/>
          <w:color w:val="80340D" w:themeColor="accent2" w:themeShade="80"/>
          <w:sz w:val="24"/>
          <w:szCs w:val="24"/>
        </w:rPr>
        <w:t>mere</w:t>
      </w:r>
      <w:r>
        <w:rPr>
          <w:rFonts w:ascii="ADLaM Display" w:hAnsi="ADLaM Display" w:cs="ADLaM Display"/>
          <w:color w:val="80340D" w:themeColor="accent2" w:themeShade="80"/>
          <w:sz w:val="24"/>
          <w:szCs w:val="24"/>
        </w:rPr>
        <w:t xml:space="preserve"> </w:t>
      </w:r>
      <w:r w:rsidRPr="0085699A">
        <w:rPr>
          <w:rFonts w:ascii="ADLaM Display" w:hAnsi="ADLaM Display" w:cs="ADLaM Display"/>
          <w:color w:val="80340D" w:themeColor="accent2" w:themeShade="80"/>
          <w:sz w:val="24"/>
          <w:szCs w:val="24"/>
        </w:rPr>
        <w:t xml:space="preserve">” </w:t>
      </w:r>
    </w:p>
    <w:p w14:paraId="5ACC9F1A" w14:textId="4A05A8A7" w:rsidR="002025D6" w:rsidRPr="0085699A" w:rsidRDefault="002025D6" w:rsidP="002025D6">
      <w:pPr>
        <w:rPr>
          <w:sz w:val="24"/>
          <w:szCs w:val="24"/>
        </w:rPr>
      </w:pPr>
      <w:r w:rsidRPr="009824EA">
        <w:rPr>
          <w:b/>
          <w:bCs/>
          <w:sz w:val="24"/>
          <w:szCs w:val="24"/>
        </w:rPr>
        <w:t>Gratis for:</w:t>
      </w:r>
      <w:r w:rsidRPr="0085699A">
        <w:rPr>
          <w:sz w:val="24"/>
          <w:szCs w:val="24"/>
        </w:rPr>
        <w:t xml:space="preserve"> ufaglærte</w:t>
      </w:r>
      <w:r w:rsidRPr="009824EA">
        <w:rPr>
          <w:sz w:val="24"/>
          <w:szCs w:val="24"/>
        </w:rPr>
        <w:t xml:space="preserve"> </w:t>
      </w:r>
      <w:r w:rsidR="008F0BDE">
        <w:rPr>
          <w:sz w:val="24"/>
          <w:szCs w:val="24"/>
        </w:rPr>
        <w:t>p</w:t>
      </w:r>
      <w:r w:rsidRPr="009824EA">
        <w:rPr>
          <w:sz w:val="24"/>
          <w:szCs w:val="24"/>
        </w:rPr>
        <w:t>ædagogmedhjælpere</w:t>
      </w:r>
      <w:r>
        <w:rPr>
          <w:sz w:val="24"/>
          <w:szCs w:val="24"/>
        </w:rPr>
        <w:t xml:space="preserve"> – her med fokus på videre uddannelse </w:t>
      </w:r>
    </w:p>
    <w:p w14:paraId="77008817" w14:textId="77777777" w:rsidR="002025D6" w:rsidRDefault="002025D6" w:rsidP="00D92274">
      <w:pPr>
        <w:pBdr>
          <w:top w:val="single" w:sz="4" w:space="1" w:color="auto"/>
          <w:left w:val="single" w:sz="4" w:space="0" w:color="auto"/>
          <w:bottom w:val="single" w:sz="4" w:space="1" w:color="auto"/>
          <w:right w:val="single" w:sz="4" w:space="4" w:color="auto"/>
        </w:pBdr>
      </w:pPr>
      <w:r>
        <w:t xml:space="preserve">AMU står for arbejdsmarkedsuddannelser. AMU er efteruddannelse målrettet ufaglærte og faglærte personer, der har behov for uddannelse for at vedligeholde og/eller videreudvikle deres erhvervsrettede kompetencer. </w:t>
      </w:r>
      <w:r w:rsidRPr="00EA5E4C">
        <w:rPr>
          <w:i/>
          <w:iCs/>
        </w:rPr>
        <w:t xml:space="preserve">Alle - også personer med videregående uddannelse - kan deltage. </w:t>
      </w:r>
    </w:p>
    <w:p w14:paraId="6A71C234" w14:textId="77777777" w:rsidR="002025D6" w:rsidRPr="00887ED3" w:rsidRDefault="002025D6" w:rsidP="002025D6">
      <w:pPr>
        <w:pStyle w:val="NormalWeb"/>
        <w:shd w:val="clear" w:color="auto" w:fill="FFFFFF"/>
        <w:rPr>
          <w:b/>
          <w:bCs/>
          <w:color w:val="7030A0"/>
        </w:rPr>
      </w:pPr>
      <w:r>
        <w:t xml:space="preserve">AMU består af kurser, som kan tages på typisk erhvervsskoler i hele landet. Et AMU-kursus kan vare fra en halv dag til flere uger. I dette dokument kan du læse om 4 særligt udvalgte kurser, som kan være den direkte vej for medarbejderne ind i en faglært uddannelse. </w:t>
      </w:r>
      <w:r>
        <w:br/>
      </w:r>
      <w:r w:rsidRPr="008F3868">
        <w:rPr>
          <w:rFonts w:ascii="Source Sans Pro" w:hAnsi="Source Sans Pro"/>
          <w:color w:val="31333F"/>
          <w:sz w:val="22"/>
          <w:szCs w:val="22"/>
        </w:rPr>
        <w:t>Alle fire kurser giver merit på den pædagogiske assistentuddannelse.</w:t>
      </w:r>
      <w:r>
        <w:rPr>
          <w:rFonts w:ascii="Source Sans Pro" w:hAnsi="Source Sans Pro"/>
          <w:color w:val="31333F"/>
        </w:rPr>
        <w:t xml:space="preserve"> </w:t>
      </w:r>
    </w:p>
    <w:p w14:paraId="29343BCE" w14:textId="77777777" w:rsidR="002025D6" w:rsidRDefault="002025D6" w:rsidP="002025D6">
      <w:pPr>
        <w:pStyle w:val="NormalWeb"/>
        <w:shd w:val="clear" w:color="auto" w:fill="FFFFFF"/>
        <w:rPr>
          <w:rFonts w:ascii="Source Sans Pro" w:hAnsi="Source Sans Pro"/>
          <w:color w:val="31333F"/>
        </w:rPr>
      </w:pPr>
      <w:r>
        <w:rPr>
          <w:rFonts w:ascii="Source Sans Pro" w:hAnsi="Source Sans Pro"/>
          <w:color w:val="31333F"/>
        </w:rPr>
        <w:t xml:space="preserve">Der er en særlig økonomi knyttet til dette, som kan ses til sidst i dokumentet. </w:t>
      </w:r>
    </w:p>
    <w:p w14:paraId="53E70B6D" w14:textId="77777777" w:rsidR="002025D6" w:rsidRDefault="002025D6" w:rsidP="002025D6">
      <w:pPr>
        <w:pStyle w:val="NormalWeb"/>
        <w:shd w:val="clear" w:color="auto" w:fill="FFFFFF"/>
        <w:rPr>
          <w:rFonts w:ascii="Source Sans Pro" w:hAnsi="Source Sans Pro"/>
          <w:color w:val="31333F"/>
        </w:rPr>
      </w:pPr>
      <w:r>
        <w:rPr>
          <w:rFonts w:ascii="Source Sans Pro" w:hAnsi="Source Sans Pro"/>
          <w:color w:val="31333F"/>
        </w:rPr>
        <w:t>Kurserne:</w:t>
      </w:r>
    </w:p>
    <w:p w14:paraId="61AE3A46" w14:textId="77777777" w:rsidR="002025D6" w:rsidRPr="00A162B2" w:rsidRDefault="002025D6" w:rsidP="002025D6">
      <w:pPr>
        <w:pStyle w:val="NormalWeb"/>
        <w:shd w:val="clear" w:color="auto" w:fill="FFFFFF"/>
        <w:rPr>
          <w:rFonts w:asciiTheme="minorHAnsi" w:hAnsiTheme="minorHAnsi"/>
          <w:color w:val="275317" w:themeColor="accent6" w:themeShade="80"/>
          <w:sz w:val="22"/>
          <w:szCs w:val="22"/>
        </w:rPr>
      </w:pPr>
      <w:r>
        <w:rPr>
          <w:rFonts w:ascii="Source Sans Pro" w:hAnsi="Source Sans Pro"/>
          <w:color w:val="31333F"/>
        </w:rPr>
        <w:t xml:space="preserve"> </w:t>
      </w:r>
      <w:r w:rsidRPr="00E85438">
        <w:rPr>
          <w:color w:val="7030A0"/>
        </w:rPr>
        <w:cr/>
      </w:r>
      <w:r w:rsidRPr="00A162B2">
        <w:rPr>
          <w:rFonts w:asciiTheme="minorHAnsi" w:hAnsiTheme="minorHAnsi"/>
          <w:b/>
          <w:bCs/>
          <w:color w:val="275317" w:themeColor="accent6" w:themeShade="80"/>
          <w:sz w:val="22"/>
          <w:szCs w:val="22"/>
        </w:rPr>
        <w:t>Den styrkede pædagogiske læreplan</w:t>
      </w:r>
      <w:r w:rsidRPr="00A162B2">
        <w:rPr>
          <w:rFonts w:asciiTheme="minorHAnsi" w:hAnsiTheme="minorHAnsi"/>
          <w:b/>
          <w:bCs/>
          <w:color w:val="275317" w:themeColor="accent6" w:themeShade="80"/>
          <w:sz w:val="22"/>
          <w:szCs w:val="22"/>
        </w:rPr>
        <w:tab/>
      </w:r>
      <w:r w:rsidRPr="00A162B2">
        <w:rPr>
          <w:rFonts w:asciiTheme="minorHAnsi" w:hAnsiTheme="minorHAnsi"/>
          <w:b/>
          <w:bCs/>
          <w:color w:val="275317" w:themeColor="accent6" w:themeShade="80"/>
          <w:sz w:val="22"/>
          <w:szCs w:val="22"/>
        </w:rPr>
        <w:tab/>
        <w:t>48384</w:t>
      </w:r>
      <w:r w:rsidRPr="00A162B2">
        <w:rPr>
          <w:rFonts w:asciiTheme="minorHAnsi" w:hAnsiTheme="minorHAnsi"/>
          <w:b/>
          <w:bCs/>
          <w:color w:val="275317" w:themeColor="accent6" w:themeShade="80"/>
          <w:sz w:val="22"/>
          <w:szCs w:val="22"/>
        </w:rPr>
        <w:tab/>
        <w:t>3 dage</w:t>
      </w:r>
    </w:p>
    <w:p w14:paraId="73FE7BEC" w14:textId="77777777" w:rsidR="002025D6" w:rsidRPr="00A162B2" w:rsidRDefault="002025D6" w:rsidP="002025D6">
      <w:pPr>
        <w:rPr>
          <w:b/>
          <w:bCs/>
          <w:color w:val="275317" w:themeColor="accent6" w:themeShade="80"/>
        </w:rPr>
      </w:pPr>
      <w:r w:rsidRPr="00A162B2">
        <w:rPr>
          <w:b/>
          <w:bCs/>
          <w:color w:val="275317" w:themeColor="accent6" w:themeShade="80"/>
        </w:rPr>
        <w:t>Samspil og relationer i pædagogiske arbejde</w:t>
      </w:r>
      <w:r w:rsidRPr="00A162B2">
        <w:rPr>
          <w:b/>
          <w:bCs/>
          <w:color w:val="275317" w:themeColor="accent6" w:themeShade="80"/>
        </w:rPr>
        <w:tab/>
        <w:t>42665</w:t>
      </w:r>
      <w:r w:rsidRPr="00A162B2">
        <w:rPr>
          <w:b/>
          <w:bCs/>
          <w:color w:val="275317" w:themeColor="accent6" w:themeShade="80"/>
        </w:rPr>
        <w:tab/>
        <w:t xml:space="preserve">5 dage </w:t>
      </w:r>
    </w:p>
    <w:p w14:paraId="04E50D8A" w14:textId="77777777" w:rsidR="002025D6" w:rsidRPr="00A162B2" w:rsidRDefault="002025D6" w:rsidP="002025D6">
      <w:pPr>
        <w:rPr>
          <w:b/>
          <w:bCs/>
          <w:color w:val="275317" w:themeColor="accent6" w:themeShade="80"/>
        </w:rPr>
      </w:pPr>
      <w:r w:rsidRPr="00A162B2">
        <w:rPr>
          <w:b/>
          <w:bCs/>
          <w:color w:val="275317" w:themeColor="accent6" w:themeShade="80"/>
        </w:rPr>
        <w:t>Børns motorik, sansning og bevægelse 1</w:t>
      </w:r>
      <w:r w:rsidRPr="00A162B2">
        <w:rPr>
          <w:b/>
          <w:bCs/>
          <w:color w:val="275317" w:themeColor="accent6" w:themeShade="80"/>
        </w:rPr>
        <w:tab/>
        <w:t xml:space="preserve">487343 </w:t>
      </w:r>
      <w:r w:rsidRPr="00A162B2">
        <w:rPr>
          <w:b/>
          <w:bCs/>
          <w:color w:val="275317" w:themeColor="accent6" w:themeShade="80"/>
        </w:rPr>
        <w:tab/>
        <w:t>3 dage</w:t>
      </w:r>
    </w:p>
    <w:p w14:paraId="624523E6" w14:textId="77777777" w:rsidR="002025D6" w:rsidRPr="00A162B2" w:rsidRDefault="002025D6" w:rsidP="002025D6">
      <w:pPr>
        <w:rPr>
          <w:b/>
          <w:bCs/>
          <w:color w:val="275317" w:themeColor="accent6" w:themeShade="80"/>
        </w:rPr>
      </w:pPr>
      <w:r w:rsidRPr="00A162B2">
        <w:rPr>
          <w:b/>
          <w:bCs/>
          <w:color w:val="275317" w:themeColor="accent6" w:themeShade="80"/>
        </w:rPr>
        <w:t>Evaluering og pædagogisk læringsmiljø i dagtilbud</w:t>
      </w:r>
      <w:r w:rsidRPr="00A162B2">
        <w:rPr>
          <w:b/>
          <w:bCs/>
          <w:color w:val="275317" w:themeColor="accent6" w:themeShade="80"/>
        </w:rPr>
        <w:tab/>
        <w:t>49857</w:t>
      </w:r>
      <w:r w:rsidRPr="00A162B2">
        <w:rPr>
          <w:b/>
          <w:bCs/>
          <w:color w:val="275317" w:themeColor="accent6" w:themeShade="80"/>
        </w:rPr>
        <w:tab/>
        <w:t xml:space="preserve">2 dage </w:t>
      </w:r>
      <w:r w:rsidRPr="00A162B2">
        <w:rPr>
          <w:b/>
          <w:bCs/>
          <w:color w:val="275317" w:themeColor="accent6" w:themeShade="80"/>
        </w:rPr>
        <w:tab/>
      </w:r>
    </w:p>
    <w:p w14:paraId="117F144F" w14:textId="77777777" w:rsidR="002025D6" w:rsidRDefault="002025D6" w:rsidP="002025D6">
      <w:pPr>
        <w:pStyle w:val="NormalWeb"/>
        <w:shd w:val="clear" w:color="auto" w:fill="FFFFFF"/>
        <w:rPr>
          <w:rFonts w:ascii="Source Sans Pro" w:hAnsi="Source Sans Pro"/>
          <w:color w:val="31333F"/>
        </w:rPr>
      </w:pPr>
      <w:r w:rsidRPr="00A162B2">
        <w:rPr>
          <w:rStyle w:val="Strk"/>
          <w:rFonts w:ascii="Source Sans Pro" w:eastAsiaTheme="majorEastAsia" w:hAnsi="Source Sans Pro"/>
          <w:color w:val="275317" w:themeColor="accent6" w:themeShade="80"/>
        </w:rPr>
        <w:t>Den styrkede pædagogiske læreplan</w:t>
      </w:r>
      <w:r>
        <w:rPr>
          <w:rFonts w:ascii="Source Sans Pro" w:hAnsi="Source Sans Pro"/>
          <w:color w:val="31333F"/>
        </w:rPr>
        <w:br/>
        <w:t>Dette kursus har fokus på at kvalificere det pædagogiske personale til at arbejde med intentionerne bag den styrkede pædagogiske læreplan, som fungerer som ramme for det pædagogiske arbejde i dagtilbud. Kursisterne opnår viden om, hvordan læringsmiljøer kan tilrettelægges fysisk, psykisk og æstetisk for at understøtte børns dannelse, trivsel, udvikling og læring. Desuden behandles inddragelse af børneperspektivet i pædagogisk praksis, fremme af deltagelsesmuligheder for alle børn – herunder børn i udsatte positioner – samt meningsfuld dokumentation og evaluering som metode til udvikling af praksis.</w:t>
      </w:r>
    </w:p>
    <w:p w14:paraId="533AE7CD" w14:textId="77777777" w:rsidR="002025D6" w:rsidRDefault="002025D6" w:rsidP="002025D6">
      <w:pPr>
        <w:pStyle w:val="NormalWeb"/>
        <w:shd w:val="clear" w:color="auto" w:fill="FFFFFF"/>
        <w:rPr>
          <w:rFonts w:ascii="Source Sans Pro" w:hAnsi="Source Sans Pro"/>
          <w:color w:val="31333F"/>
        </w:rPr>
      </w:pPr>
      <w:r w:rsidRPr="00A162B2">
        <w:rPr>
          <w:rStyle w:val="Strk"/>
          <w:rFonts w:ascii="Source Sans Pro" w:eastAsiaTheme="majorEastAsia" w:hAnsi="Source Sans Pro"/>
          <w:color w:val="275317" w:themeColor="accent6" w:themeShade="80"/>
        </w:rPr>
        <w:t>Samspil og relationer i pædagogisk arbejde</w:t>
      </w:r>
      <w:r>
        <w:rPr>
          <w:rFonts w:ascii="Source Sans Pro" w:hAnsi="Source Sans Pro"/>
          <w:color w:val="31333F"/>
        </w:rPr>
        <w:br/>
        <w:t>Kurset omhandler pædagogiske redskaber til målrettet kommunikation og samarbejde. Det teoretiske og metodiske grundlag har til hensigt at styrke det daglige samspil og relationerne mellem personale, børn og pårørende i daginstitutioner. Deltagerne arbejder med analyse og udvikling af egne praksisformer, hvilket har til formål at højne kvaliteten af relationer og samspil i den pædagogiske kontekst.</w:t>
      </w:r>
    </w:p>
    <w:p w14:paraId="15DB79CB" w14:textId="77777777" w:rsidR="002025D6" w:rsidRDefault="002025D6" w:rsidP="002025D6">
      <w:pPr>
        <w:pStyle w:val="NormalWeb"/>
        <w:shd w:val="clear" w:color="auto" w:fill="FFFFFF"/>
        <w:rPr>
          <w:rFonts w:ascii="Source Sans Pro" w:hAnsi="Source Sans Pro"/>
          <w:color w:val="31333F"/>
        </w:rPr>
      </w:pPr>
      <w:r w:rsidRPr="00A162B2">
        <w:rPr>
          <w:rStyle w:val="Strk"/>
          <w:rFonts w:ascii="Source Sans Pro" w:eastAsiaTheme="majorEastAsia" w:hAnsi="Source Sans Pro"/>
          <w:color w:val="275317" w:themeColor="accent6" w:themeShade="80"/>
        </w:rPr>
        <w:t>Børns motorik, sansning og bevægelse 1</w:t>
      </w:r>
      <w:r>
        <w:rPr>
          <w:rFonts w:ascii="Source Sans Pro" w:hAnsi="Source Sans Pro"/>
          <w:color w:val="31333F"/>
        </w:rPr>
        <w:br/>
        <w:t>Dette kursus bidrager med grundlæggende viden om børns sansemotoriske udvikling og dennes betydning for trivsel og generel udvikling. Indholdet omfatter metoder til at understøtte og fremme børns motoriske og sanselige udfoldelse gennem tilrettelagte aktiviteter i inkluderende læringsmiljøer. Der arbejdes konkret med planlægning, gennemførelse og evaluering af bevægelsesaktiviteter, der sigter mod at give alle børn muligheder for at tilegne sig viden og erfaring gennem krop og sanser.</w:t>
      </w:r>
    </w:p>
    <w:p w14:paraId="1FDC1DD1" w14:textId="77777777" w:rsidR="002025D6" w:rsidRDefault="002025D6" w:rsidP="002025D6">
      <w:pPr>
        <w:pStyle w:val="NormalWeb"/>
        <w:shd w:val="clear" w:color="auto" w:fill="FFFFFF"/>
        <w:rPr>
          <w:rStyle w:val="Strk"/>
          <w:rFonts w:ascii="Source Sans Pro" w:eastAsiaTheme="majorEastAsia" w:hAnsi="Source Sans Pro"/>
          <w:color w:val="31333F"/>
        </w:rPr>
      </w:pPr>
    </w:p>
    <w:p w14:paraId="5A708FD3" w14:textId="77777777" w:rsidR="002025D6" w:rsidRDefault="002025D6" w:rsidP="002025D6">
      <w:pPr>
        <w:pStyle w:val="NormalWeb"/>
        <w:shd w:val="clear" w:color="auto" w:fill="FFFFFF"/>
        <w:rPr>
          <w:rFonts w:ascii="Source Sans Pro" w:hAnsi="Source Sans Pro"/>
          <w:color w:val="31333F"/>
        </w:rPr>
      </w:pPr>
      <w:r w:rsidRPr="00A162B2">
        <w:rPr>
          <w:rStyle w:val="Strk"/>
          <w:rFonts w:ascii="Source Sans Pro" w:eastAsiaTheme="majorEastAsia" w:hAnsi="Source Sans Pro"/>
          <w:color w:val="275317" w:themeColor="accent6" w:themeShade="80"/>
        </w:rPr>
        <w:lastRenderedPageBreak/>
        <w:t>Evaluering og pædagogisk læringsmiljø i dagtilbud</w:t>
      </w:r>
      <w:r>
        <w:rPr>
          <w:rFonts w:ascii="Source Sans Pro" w:hAnsi="Source Sans Pro"/>
          <w:color w:val="31333F"/>
        </w:rPr>
        <w:br/>
        <w:t>Kurset fokuserer på brugen af dokumentation og praksisnære evalueringsformer som grundlag for at tilrettelægge og vurdere det pædagogiske arbejde. Der gives indsigt i evaluering, der inddrager børneperspektivet og undersøger, hvorvidt læringsmiljøet understøtter børns trivsel, læring, udvikling og dannelse på tværs af læreplanstemaer. Desuden behandles udvikling af evalueringskultur, herunder udvælgelse af relevante evalueringsredskaber og refleksion over dokumentation som grundlag for læringsmiljøets fortsatte udvikling.</w:t>
      </w:r>
    </w:p>
    <w:p w14:paraId="2B4A74A2" w14:textId="77777777" w:rsidR="002025D6" w:rsidRPr="00A162B2" w:rsidRDefault="002025D6" w:rsidP="002025D6">
      <w:pPr>
        <w:pStyle w:val="NormalWeb"/>
        <w:shd w:val="clear" w:color="auto" w:fill="FFFFFF"/>
        <w:rPr>
          <w:rFonts w:ascii="Source Sans Pro" w:hAnsi="Source Sans Pro"/>
          <w:i/>
          <w:iCs/>
          <w:color w:val="31333F"/>
        </w:rPr>
      </w:pPr>
      <w:r w:rsidRPr="00A162B2">
        <w:rPr>
          <w:rFonts w:ascii="Source Sans Pro" w:hAnsi="Source Sans Pro"/>
          <w:i/>
          <w:iCs/>
          <w:color w:val="31333F"/>
        </w:rPr>
        <w:t>Samlet set dækker kurserne centrale aspekter af pædagogisk praksis og bidrager med værktøjer og metoder, der kan understøtte det pædagogiske arbejde i dagtilbud, både på et individuelt og organisatorisk niveau.</w:t>
      </w:r>
    </w:p>
    <w:p w14:paraId="626942AA" w14:textId="77777777" w:rsidR="002025D6" w:rsidRPr="00A162B2" w:rsidRDefault="002025D6" w:rsidP="002025D6">
      <w:pPr>
        <w:rPr>
          <w:b/>
          <w:bCs/>
          <w:color w:val="7030A0"/>
          <w:sz w:val="24"/>
          <w:szCs w:val="24"/>
        </w:rPr>
      </w:pPr>
    </w:p>
    <w:p w14:paraId="7B2F6F76" w14:textId="77777777" w:rsidR="002025D6" w:rsidRPr="00A162B2" w:rsidRDefault="002025D6" w:rsidP="002025D6">
      <w:pPr>
        <w:rPr>
          <w:b/>
          <w:bCs/>
          <w:color w:val="7030A0"/>
          <w:sz w:val="24"/>
          <w:szCs w:val="24"/>
        </w:rPr>
      </w:pPr>
      <w:r w:rsidRPr="00A162B2">
        <w:rPr>
          <w:b/>
          <w:bCs/>
          <w:color w:val="7030A0"/>
          <w:sz w:val="24"/>
          <w:szCs w:val="24"/>
        </w:rPr>
        <w:t>Økonomien:</w:t>
      </w:r>
    </w:p>
    <w:p w14:paraId="65D3FDCC" w14:textId="77777777" w:rsidR="002025D6" w:rsidRPr="00A162B2" w:rsidRDefault="002025D6" w:rsidP="002025D6">
      <w:pPr>
        <w:rPr>
          <w:b/>
          <w:bCs/>
          <w:sz w:val="24"/>
          <w:szCs w:val="24"/>
        </w:rPr>
      </w:pPr>
      <w:r w:rsidRPr="00A162B2">
        <w:rPr>
          <w:b/>
          <w:bCs/>
          <w:sz w:val="24"/>
          <w:szCs w:val="24"/>
        </w:rPr>
        <w:t xml:space="preserve">Refusion til en vikar imens medarbejderen er på kursus: </w:t>
      </w:r>
    </w:p>
    <w:p w14:paraId="10BC65BC" w14:textId="77777777" w:rsidR="002025D6" w:rsidRPr="00A162B2" w:rsidRDefault="002025D6" w:rsidP="002025D6">
      <w:pPr>
        <w:rPr>
          <w:sz w:val="24"/>
          <w:szCs w:val="24"/>
          <w:u w:val="single"/>
        </w:rPr>
      </w:pPr>
      <w:r w:rsidRPr="00A162B2">
        <w:rPr>
          <w:sz w:val="24"/>
          <w:szCs w:val="24"/>
          <w:u w:val="single"/>
        </w:rPr>
        <w:t>Der udbetales penge til arbejdspladsen til vikar</w:t>
      </w:r>
    </w:p>
    <w:p w14:paraId="2697A2FB" w14:textId="77777777" w:rsidR="002025D6" w:rsidRPr="00A162B2" w:rsidRDefault="002025D6" w:rsidP="002025D6">
      <w:pPr>
        <w:rPr>
          <w:i/>
          <w:iCs/>
          <w:sz w:val="24"/>
          <w:szCs w:val="24"/>
        </w:rPr>
      </w:pPr>
      <w:proofErr w:type="gramStart"/>
      <w:r w:rsidRPr="00A162B2">
        <w:rPr>
          <w:i/>
          <w:iCs/>
          <w:sz w:val="24"/>
          <w:szCs w:val="24"/>
        </w:rPr>
        <w:t>VEU godtgørelse</w:t>
      </w:r>
      <w:proofErr w:type="gramEnd"/>
      <w:r w:rsidRPr="00A162B2">
        <w:rPr>
          <w:i/>
          <w:iCs/>
          <w:sz w:val="24"/>
          <w:szCs w:val="24"/>
        </w:rPr>
        <w:t xml:space="preserve"> på </w:t>
      </w:r>
      <w:proofErr w:type="gramStart"/>
      <w:r w:rsidRPr="00A162B2">
        <w:rPr>
          <w:i/>
          <w:iCs/>
          <w:sz w:val="24"/>
          <w:szCs w:val="24"/>
        </w:rPr>
        <w:t>AMU kurser</w:t>
      </w:r>
      <w:proofErr w:type="gramEnd"/>
      <w:r w:rsidRPr="00A162B2">
        <w:rPr>
          <w:i/>
          <w:iCs/>
          <w:sz w:val="24"/>
          <w:szCs w:val="24"/>
        </w:rPr>
        <w:t>:</w:t>
      </w:r>
    </w:p>
    <w:p w14:paraId="22544E2D" w14:textId="77777777" w:rsidR="002025D6" w:rsidRPr="00A162B2" w:rsidRDefault="002025D6" w:rsidP="002025D6">
      <w:pPr>
        <w:rPr>
          <w:i/>
          <w:iCs/>
          <w:sz w:val="24"/>
          <w:szCs w:val="24"/>
        </w:rPr>
      </w:pPr>
      <w:r w:rsidRPr="00A162B2">
        <w:rPr>
          <w:i/>
          <w:iCs/>
          <w:sz w:val="24"/>
          <w:szCs w:val="24"/>
        </w:rPr>
        <w:t xml:space="preserve">131,55 kr. pr. time (en timelønnet vikar ligger typisk på 158,52 </w:t>
      </w:r>
      <w:proofErr w:type="spellStart"/>
      <w:r w:rsidRPr="00A162B2">
        <w:rPr>
          <w:i/>
          <w:iCs/>
          <w:sz w:val="24"/>
          <w:szCs w:val="24"/>
        </w:rPr>
        <w:t>kr</w:t>
      </w:r>
      <w:proofErr w:type="spellEnd"/>
      <w:r w:rsidRPr="00A162B2">
        <w:rPr>
          <w:i/>
          <w:iCs/>
          <w:sz w:val="24"/>
          <w:szCs w:val="24"/>
        </w:rPr>
        <w:t xml:space="preserve"> pr time)</w:t>
      </w:r>
    </w:p>
    <w:p w14:paraId="1747E9C5" w14:textId="77777777" w:rsidR="002025D6" w:rsidRPr="00A162B2" w:rsidRDefault="002025D6" w:rsidP="002025D6">
      <w:pPr>
        <w:rPr>
          <w:i/>
          <w:iCs/>
          <w:sz w:val="24"/>
          <w:szCs w:val="24"/>
        </w:rPr>
      </w:pPr>
      <w:r w:rsidRPr="00A162B2">
        <w:rPr>
          <w:i/>
          <w:iCs/>
          <w:sz w:val="24"/>
          <w:szCs w:val="24"/>
        </w:rPr>
        <w:t>(</w:t>
      </w:r>
      <w:r w:rsidRPr="00A162B2">
        <w:rPr>
          <w:rFonts w:cs="Open Sans"/>
          <w:sz w:val="24"/>
          <w:szCs w:val="24"/>
          <w:shd w:val="clear" w:color="auto" w:fill="FFFFFF"/>
        </w:rPr>
        <w:t>4.867,35 kr. pr. uge</w:t>
      </w:r>
      <w:r w:rsidRPr="00A162B2">
        <w:rPr>
          <w:i/>
          <w:iCs/>
          <w:sz w:val="24"/>
          <w:szCs w:val="24"/>
        </w:rPr>
        <w:t xml:space="preserve"> kr. pr. uge (2025)</w:t>
      </w:r>
    </w:p>
    <w:p w14:paraId="3CDFE0BD" w14:textId="77777777" w:rsidR="002025D6" w:rsidRPr="00A162B2" w:rsidRDefault="002025D6" w:rsidP="002025D6">
      <w:pPr>
        <w:rPr>
          <w:sz w:val="24"/>
          <w:szCs w:val="24"/>
        </w:rPr>
      </w:pPr>
    </w:p>
    <w:p w14:paraId="73BD9902" w14:textId="77777777" w:rsidR="002025D6" w:rsidRDefault="002025D6" w:rsidP="002025D6">
      <w:pPr>
        <w:pBdr>
          <w:top w:val="single" w:sz="4" w:space="1" w:color="auto"/>
          <w:left w:val="single" w:sz="4" w:space="4" w:color="auto"/>
          <w:bottom w:val="single" w:sz="4" w:space="1" w:color="auto"/>
          <w:right w:val="single" w:sz="4" w:space="4" w:color="auto"/>
        </w:pBdr>
        <w:rPr>
          <w:sz w:val="24"/>
          <w:szCs w:val="24"/>
        </w:rPr>
      </w:pPr>
      <w:r w:rsidRPr="00A162B2">
        <w:rPr>
          <w:sz w:val="24"/>
          <w:szCs w:val="24"/>
        </w:rPr>
        <w:t>Den Kommunale Kompetencefond dækker derudover evt. deltager betaling og 118,38 kr. pr. time</w:t>
      </w:r>
    </w:p>
    <w:p w14:paraId="4BA3E693" w14:textId="77777777" w:rsidR="002025D6" w:rsidRPr="00A162B2" w:rsidRDefault="002025D6" w:rsidP="002025D6">
      <w:pPr>
        <w:pBdr>
          <w:top w:val="single" w:sz="4" w:space="1" w:color="auto"/>
          <w:left w:val="single" w:sz="4" w:space="4" w:color="auto"/>
          <w:bottom w:val="single" w:sz="4" w:space="1" w:color="auto"/>
          <w:right w:val="single" w:sz="4" w:space="4" w:color="auto"/>
        </w:pBdr>
        <w:rPr>
          <w:sz w:val="24"/>
          <w:szCs w:val="24"/>
        </w:rPr>
      </w:pPr>
      <w:r w:rsidRPr="00A162B2">
        <w:rPr>
          <w:sz w:val="24"/>
          <w:szCs w:val="24"/>
        </w:rPr>
        <w:t xml:space="preserve">(2025 </w:t>
      </w:r>
      <w:proofErr w:type="gramStart"/>
      <w:r w:rsidRPr="00A162B2">
        <w:rPr>
          <w:sz w:val="24"/>
          <w:szCs w:val="24"/>
        </w:rPr>
        <w:t xml:space="preserve">takst)  </w:t>
      </w:r>
      <w:r w:rsidRPr="00A162B2">
        <w:rPr>
          <w:b/>
          <w:bCs/>
          <w:sz w:val="24"/>
          <w:szCs w:val="24"/>
        </w:rPr>
        <w:t>ekstra</w:t>
      </w:r>
      <w:proofErr w:type="gramEnd"/>
      <w:r w:rsidRPr="00A162B2">
        <w:rPr>
          <w:sz w:val="24"/>
          <w:szCs w:val="24"/>
        </w:rPr>
        <w:t xml:space="preserve"> på de 4 ovenstående kurser. </w:t>
      </w:r>
    </w:p>
    <w:p w14:paraId="69D17130" w14:textId="77777777" w:rsidR="002025D6" w:rsidRPr="00A162B2" w:rsidRDefault="002025D6" w:rsidP="002025D6">
      <w:pPr>
        <w:pBdr>
          <w:top w:val="single" w:sz="4" w:space="1" w:color="auto"/>
          <w:left w:val="single" w:sz="4" w:space="4" w:color="auto"/>
          <w:bottom w:val="single" w:sz="4" w:space="1" w:color="auto"/>
          <w:right w:val="single" w:sz="4" w:space="4" w:color="auto"/>
        </w:pBdr>
        <w:rPr>
          <w:sz w:val="24"/>
          <w:szCs w:val="24"/>
          <w:u w:val="single"/>
        </w:rPr>
      </w:pPr>
      <w:r w:rsidRPr="00A162B2">
        <w:rPr>
          <w:sz w:val="24"/>
          <w:szCs w:val="24"/>
          <w:u w:val="single"/>
        </w:rPr>
        <w:t xml:space="preserve">Det betyder at der er 2 refusioner på disse udvalgte kruser – under nedenstående forudsætning. </w:t>
      </w:r>
    </w:p>
    <w:p w14:paraId="22F02BD6" w14:textId="77777777" w:rsidR="002025D6" w:rsidRPr="00A162B2" w:rsidRDefault="002025D6" w:rsidP="002025D6">
      <w:pPr>
        <w:pBdr>
          <w:top w:val="single" w:sz="4" w:space="1" w:color="auto"/>
          <w:left w:val="single" w:sz="4" w:space="4" w:color="auto"/>
          <w:bottom w:val="single" w:sz="4" w:space="1" w:color="auto"/>
          <w:right w:val="single" w:sz="4" w:space="4" w:color="auto"/>
        </w:pBdr>
        <w:rPr>
          <w:sz w:val="24"/>
          <w:szCs w:val="24"/>
        </w:rPr>
      </w:pPr>
      <w:r w:rsidRPr="00A162B2">
        <w:rPr>
          <w:sz w:val="24"/>
          <w:szCs w:val="24"/>
        </w:rPr>
        <w:t xml:space="preserve">Her gælder at: </w:t>
      </w:r>
      <w:r w:rsidRPr="00A162B2">
        <w:rPr>
          <w:b/>
          <w:bCs/>
          <w:sz w:val="24"/>
          <w:szCs w:val="24"/>
        </w:rPr>
        <w:t>medarbejderen deltager i et på-vej-til faglært forløb</w:t>
      </w:r>
      <w:r w:rsidRPr="00A162B2">
        <w:rPr>
          <w:sz w:val="24"/>
          <w:szCs w:val="24"/>
        </w:rPr>
        <w:t xml:space="preserve">.  Medarbejderen skal være over 25 år og have 1 års ansættelse. Disse AMU-kurser er under bilag 1 til bekendtgørelsen til uddannelsen som pædagogisk assistent. Dermed forkortes uddannelsen til pædagogisk assistent også. </w:t>
      </w:r>
    </w:p>
    <w:p w14:paraId="72CE6BB5" w14:textId="77777777" w:rsidR="002025D6" w:rsidRPr="0085699A" w:rsidRDefault="002025D6" w:rsidP="002025D6">
      <w:pPr>
        <w:rPr>
          <w:sz w:val="23"/>
          <w:szCs w:val="23"/>
        </w:rPr>
      </w:pPr>
    </w:p>
    <w:p w14:paraId="0B3B4245" w14:textId="77777777" w:rsidR="00EB1EF2" w:rsidRDefault="00EB1EF2"/>
    <w:sectPr w:rsidR="00EB1EF2" w:rsidSect="002025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D6"/>
    <w:rsid w:val="000E17A4"/>
    <w:rsid w:val="000E22B6"/>
    <w:rsid w:val="002025D6"/>
    <w:rsid w:val="008A47A7"/>
    <w:rsid w:val="008F0BDE"/>
    <w:rsid w:val="00964732"/>
    <w:rsid w:val="009E5336"/>
    <w:rsid w:val="00C85ED5"/>
    <w:rsid w:val="00CF1521"/>
    <w:rsid w:val="00D92274"/>
    <w:rsid w:val="00E1253B"/>
    <w:rsid w:val="00EB1E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2EED"/>
  <w15:chartTrackingRefBased/>
  <w15:docId w15:val="{CAD7B316-4C4B-43B2-886B-3D60F9FD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D6"/>
  </w:style>
  <w:style w:type="paragraph" w:styleId="Overskrift1">
    <w:name w:val="heading 1"/>
    <w:basedOn w:val="Normal"/>
    <w:next w:val="Normal"/>
    <w:link w:val="Overskrift1Tegn"/>
    <w:uiPriority w:val="9"/>
    <w:qFormat/>
    <w:rsid w:val="00202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02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025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025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025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025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25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25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25D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25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025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025D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025D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025D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025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025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025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025D6"/>
    <w:rPr>
      <w:rFonts w:eastAsiaTheme="majorEastAsia" w:cstheme="majorBidi"/>
      <w:color w:val="272727" w:themeColor="text1" w:themeTint="D8"/>
    </w:rPr>
  </w:style>
  <w:style w:type="paragraph" w:styleId="Titel">
    <w:name w:val="Title"/>
    <w:basedOn w:val="Normal"/>
    <w:next w:val="Normal"/>
    <w:link w:val="TitelTegn"/>
    <w:uiPriority w:val="10"/>
    <w:qFormat/>
    <w:rsid w:val="00202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025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025D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025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025D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025D6"/>
    <w:rPr>
      <w:i/>
      <w:iCs/>
      <w:color w:val="404040" w:themeColor="text1" w:themeTint="BF"/>
    </w:rPr>
  </w:style>
  <w:style w:type="paragraph" w:styleId="Listeafsnit">
    <w:name w:val="List Paragraph"/>
    <w:basedOn w:val="Normal"/>
    <w:uiPriority w:val="34"/>
    <w:qFormat/>
    <w:rsid w:val="002025D6"/>
    <w:pPr>
      <w:ind w:left="720"/>
      <w:contextualSpacing/>
    </w:pPr>
  </w:style>
  <w:style w:type="character" w:styleId="Kraftigfremhvning">
    <w:name w:val="Intense Emphasis"/>
    <w:basedOn w:val="Standardskrifttypeiafsnit"/>
    <w:uiPriority w:val="21"/>
    <w:qFormat/>
    <w:rsid w:val="002025D6"/>
    <w:rPr>
      <w:i/>
      <w:iCs/>
      <w:color w:val="0F4761" w:themeColor="accent1" w:themeShade="BF"/>
    </w:rPr>
  </w:style>
  <w:style w:type="paragraph" w:styleId="Strktcitat">
    <w:name w:val="Intense Quote"/>
    <w:basedOn w:val="Normal"/>
    <w:next w:val="Normal"/>
    <w:link w:val="StrktcitatTegn"/>
    <w:uiPriority w:val="30"/>
    <w:qFormat/>
    <w:rsid w:val="00202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025D6"/>
    <w:rPr>
      <w:i/>
      <w:iCs/>
      <w:color w:val="0F4761" w:themeColor="accent1" w:themeShade="BF"/>
    </w:rPr>
  </w:style>
  <w:style w:type="character" w:styleId="Kraftighenvisning">
    <w:name w:val="Intense Reference"/>
    <w:basedOn w:val="Standardskrifttypeiafsnit"/>
    <w:uiPriority w:val="32"/>
    <w:qFormat/>
    <w:rsid w:val="002025D6"/>
    <w:rPr>
      <w:b/>
      <w:bCs/>
      <w:smallCaps/>
      <w:color w:val="0F4761" w:themeColor="accent1" w:themeShade="BF"/>
      <w:spacing w:val="5"/>
    </w:rPr>
  </w:style>
  <w:style w:type="paragraph" w:styleId="NormalWeb">
    <w:name w:val="Normal (Web)"/>
    <w:basedOn w:val="Normal"/>
    <w:uiPriority w:val="99"/>
    <w:unhideWhenUsed/>
    <w:rsid w:val="002025D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202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3696</Characters>
  <Application>Microsoft Office Word</Application>
  <DocSecurity>0</DocSecurity>
  <Lines>63</Lines>
  <Paragraphs>30</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Kragballe Rasmussen</dc:creator>
  <cp:keywords/>
  <dc:description/>
  <cp:lastModifiedBy>Emil Solvind</cp:lastModifiedBy>
  <cp:revision>4</cp:revision>
  <dcterms:created xsi:type="dcterms:W3CDTF">2025-12-11T10:07:00Z</dcterms:created>
  <dcterms:modified xsi:type="dcterms:W3CDTF">2025-12-12T11:50:00Z</dcterms:modified>
</cp:coreProperties>
</file>